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5DC6C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附件1：</w:t>
      </w:r>
    </w:p>
    <w:p w14:paraId="2A9F7F8D">
      <w:pPr>
        <w:pStyle w:val="3"/>
        <w:spacing w:line="594" w:lineRule="exact"/>
        <w:ind w:left="0"/>
        <w:jc w:val="center"/>
        <w:rPr>
          <w:rFonts w:ascii="方正黑体_GBK" w:hAnsi="方正黑体_GBK" w:eastAsia="方正黑体_GBK" w:cs="方正黑体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/>
          <w:bCs/>
          <w:color w:val="auto"/>
          <w:kern w:val="2"/>
          <w:sz w:val="32"/>
          <w:szCs w:val="32"/>
          <w:highlight w:val="none"/>
        </w:rPr>
        <w:t>响应单位须知</w:t>
      </w:r>
      <w:bookmarkStart w:id="0" w:name="_Toc430530433"/>
      <w:bookmarkStart w:id="1" w:name="_Toc287620684"/>
      <w:bookmarkStart w:id="2" w:name="_Toc277082551"/>
      <w:bookmarkStart w:id="3" w:name="_Toc287607745"/>
      <w:bookmarkStart w:id="4" w:name="_Toc224103316"/>
    </w:p>
    <w:p w14:paraId="5AE0C8D8">
      <w:pPr>
        <w:rPr>
          <w:color w:val="auto"/>
          <w:highlight w:val="none"/>
        </w:rPr>
      </w:pPr>
    </w:p>
    <w:bookmarkEnd w:id="0"/>
    <w:bookmarkEnd w:id="1"/>
    <w:bookmarkEnd w:id="2"/>
    <w:bookmarkEnd w:id="3"/>
    <w:bookmarkEnd w:id="4"/>
    <w:tbl>
      <w:tblPr>
        <w:tblStyle w:val="7"/>
        <w:tblW w:w="10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592"/>
        <w:gridCol w:w="7165"/>
      </w:tblGrid>
      <w:tr w14:paraId="1E79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FC34C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条款号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9B99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条款名称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7AA61">
            <w:pPr>
              <w:snapToGrid w:val="0"/>
              <w:jc w:val="center"/>
              <w:rPr>
                <w:rFonts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编  列  内  容</w:t>
            </w:r>
          </w:p>
        </w:tc>
      </w:tr>
      <w:tr w14:paraId="52C1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202A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11AE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踏勘现场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5FFCF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自行踏勘现场</w:t>
            </w:r>
          </w:p>
        </w:tc>
      </w:tr>
      <w:tr w14:paraId="472EE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F1FE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A7186">
            <w:pPr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分包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A78E">
            <w:pPr>
              <w:snapToGrid w:val="0"/>
              <w:spacing w:line="400" w:lineRule="exact"/>
              <w:ind w:firstLine="560" w:firstLineChars="200"/>
              <w:rPr>
                <w:rFonts w:ascii="宋体" w:hAnsi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</w:rPr>
              <w:t>不允许分包、转包</w:t>
            </w:r>
          </w:p>
        </w:tc>
      </w:tr>
      <w:tr w14:paraId="66F2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801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02B8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响应单位对比选文件提出疑问的截止时间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46BEA">
            <w:pPr>
              <w:adjustRightInd w:val="0"/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响应单位应仔细阅读比选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公告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及附件的所有内容，如有文字表述不清、存在歧义、前后不一致等问题应在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 xml:space="preserve">2025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前（北京时间），将书面提问送达比选人。</w:t>
            </w:r>
          </w:p>
        </w:tc>
      </w:tr>
      <w:tr w14:paraId="7D06C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0581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050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比选人对比选文件答疑的截止时间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3E034">
            <w:pPr>
              <w:snapToGrid w:val="0"/>
              <w:ind w:firstLine="560" w:firstLineChars="200"/>
              <w:rPr>
                <w:rFonts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 xml:space="preserve">2025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31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前（北京时间），书面通知所有响应单位。</w:t>
            </w:r>
          </w:p>
        </w:tc>
      </w:tr>
      <w:tr w14:paraId="58A3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A22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5306">
            <w:pPr>
              <w:snapToGrid w:val="0"/>
              <w:spacing w:afterLines="5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比选人对比选文件进行补遗的时间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32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560" w:firstLineChars="200"/>
              <w:textAlignment w:val="auto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修改内容可能影响响应文件编制的，须在响应截止时间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日前发布，发布时间至响应截止时间不足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日的，须相应延后响应截止时间。</w:t>
            </w:r>
          </w:p>
        </w:tc>
      </w:tr>
      <w:tr w14:paraId="52ED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10D0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763B">
            <w:pPr>
              <w:snapToGrid w:val="0"/>
              <w:spacing w:afterLines="1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构成响应文件的其他材料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F0554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响应单位的书面澄清、说明和补正（但不得改变响应文件的实质性内容）</w:t>
            </w:r>
          </w:p>
        </w:tc>
      </w:tr>
      <w:tr w14:paraId="593E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1F9B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2DF15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报价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E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560" w:firstLineChars="200"/>
              <w:jc w:val="left"/>
              <w:textAlignment w:val="auto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</w:rPr>
              <w:t>响应单位须按照比选人发出的本项目报价清单格式进行报价，不得随意更改或添加内容；响应单位的报价不得超过比选人设置的限价；报价清单中每个分项的下浮率（如有）、单价（如有）、合价（如有）必须填写完整，报价清单中的总价须与响应函中的总价一致。</w:t>
            </w:r>
          </w:p>
          <w:p w14:paraId="44683618">
            <w:pPr>
              <w:snapToGrid w:val="0"/>
              <w:ind w:firstLine="562" w:firstLineChars="200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sz w:val="28"/>
                <w:szCs w:val="28"/>
                <w:highlight w:val="none"/>
              </w:rPr>
              <w:t>如未按照上述要求填写报价，按无效响应处理。</w:t>
            </w:r>
          </w:p>
        </w:tc>
      </w:tr>
      <w:tr w14:paraId="1718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4242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A93D2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响应有效期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306DE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日历天（从提交响应文件截止日起计算）</w:t>
            </w:r>
          </w:p>
        </w:tc>
      </w:tr>
      <w:tr w14:paraId="7F753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7DE47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8DC74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是否允许递交备选响应方案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57876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不允许</w:t>
            </w:r>
          </w:p>
        </w:tc>
      </w:tr>
      <w:tr w14:paraId="025A7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F2EF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932CD">
            <w:pPr>
              <w:snapToGrid w:val="0"/>
              <w:spacing w:afterLines="3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响应文件格式要求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1FB2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1.封套上应载明的信息</w:t>
            </w:r>
          </w:p>
          <w:p w14:paraId="32990AB5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江北区C01单元05街区003地块开发项目EPC总承包项目地方材料(干混砂浆)采购</w:t>
            </w:r>
          </w:p>
          <w:p w14:paraId="65B08CF6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比选编号：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JBJG-CG-2025-013</w:t>
            </w:r>
          </w:p>
          <w:p w14:paraId="54AA8547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2026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</w:t>
            </w:r>
            <w:bookmarkStart w:id="12" w:name="_GoBack"/>
            <w:bookmarkEnd w:id="12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之前不得启封</w:t>
            </w:r>
          </w:p>
          <w:p w14:paraId="0F408251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2.响应文件应密封包装，以保证其响应文件信息在提交响应文件截止时间前不被透露。</w:t>
            </w:r>
          </w:p>
          <w:p w14:paraId="04674E77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3.编制响应文件时不得对附件2“响应文件”的相应要素作实质性修改，细微偏差由评选小组提出，响应单位书面澄清修正后作为响应文件组成部分，拒不修正做否决处理。重大偏差影响评标的按无效报价文件处理。</w:t>
            </w:r>
          </w:p>
          <w:p w14:paraId="5AFA54D0">
            <w:pPr>
              <w:adjustRightInd w:val="0"/>
              <w:snapToGrid w:val="0"/>
              <w:ind w:firstLine="560" w:firstLineChars="200"/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响应单位递交的响应文件应进行密封，如未密封，比选人应予拒收。</w:t>
            </w:r>
          </w:p>
          <w:p w14:paraId="6A583667">
            <w:pPr>
              <w:adjustRightInd w:val="0"/>
              <w:snapToGrid w:val="0"/>
              <w:ind w:firstLine="560" w:firstLineChars="200"/>
              <w:rPr>
                <w:rFonts w:hint="default" w:eastAsia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lang w:val="en-US" w:eastAsia="zh-CN"/>
              </w:rPr>
              <w:t>响应文件须编制目录，编制页码（从目录开始编制），目录及页码编制不作为评标因素。</w:t>
            </w:r>
          </w:p>
        </w:tc>
      </w:tr>
      <w:tr w14:paraId="1B7B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6C9D9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2CB4B">
            <w:pPr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字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盖章要求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BB641">
            <w:pPr>
              <w:adjustRightInd w:val="0"/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签字盖章须与附件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“响应文件”中的要求一致，以及构成响应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文件的其他资料响应单位认为必要的也需签字盖章。</w:t>
            </w:r>
          </w:p>
          <w:p w14:paraId="7FA35DF7">
            <w:pPr>
              <w:adjustRightInd w:val="0"/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要求响应文件应尽量避免涂改、行间插字或删除。如果出现上述情况，改动之处应加盖单位公章并由响应单位的法定代表人签名确认。</w:t>
            </w:r>
          </w:p>
        </w:tc>
      </w:tr>
      <w:tr w14:paraId="1AE48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7073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12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173FE">
            <w:pPr>
              <w:snapToGrid w:val="0"/>
              <w:jc w:val="center"/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</w:rPr>
              <w:t>响应文件的</w:t>
            </w:r>
          </w:p>
          <w:p w14:paraId="73D04CF7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8"/>
                <w:szCs w:val="28"/>
                <w:highlight w:val="none"/>
                <w:lang w:val="en-US" w:eastAsia="zh-CN"/>
              </w:rPr>
              <w:t>份数及递交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E84D3">
            <w:pPr>
              <w:snapToGrid w:val="0"/>
              <w:ind w:firstLine="560" w:firstLineChars="200"/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响应文件正本1份、副本1份。正本和副本的封面右上角上应清楚地标记“正本”或“副本”的字样，正本和副本封面均须加盖单位公章。副本应与正本内容一致，当副本和正本不一致时，以正本为准。响应文件的正本与副本应分别装订成册，同时应编制完整的页码、目录。</w:t>
            </w:r>
          </w:p>
          <w:p w14:paraId="55E8F1D7">
            <w:pPr>
              <w:snapToGrid w:val="0"/>
              <w:ind w:firstLine="560" w:firstLineChars="200"/>
              <w:rPr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请响应单位于响应文件递交截止时间前将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签字盖章齐全的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纸质版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密封文件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于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截止时间前提交至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重庆市江北区城市建设工程技术有限公司（重庆市江北区金融城2号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T3-9楼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0919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6C5F3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8662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D5B95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比选时间和</w:t>
            </w:r>
          </w:p>
          <w:p w14:paraId="35A75900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地点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6BF7">
            <w:pPr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比选时间：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2026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u w:val="single"/>
                <w:shd w:val="clear"/>
                <w:lang w:val="en-US" w:eastAsia="zh-CN"/>
              </w:rPr>
              <w:t>00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shd w:val="clear"/>
              </w:rPr>
              <w:t>分</w:t>
            </w:r>
          </w:p>
          <w:p w14:paraId="6AFE72F0">
            <w:pPr>
              <w:snapToGrid w:val="0"/>
              <w:ind w:firstLine="560" w:firstLineChars="200"/>
              <w:rPr>
                <w:rFonts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比选地点：重庆市江北区城市建设工程技术有限公司会议室</w:t>
            </w:r>
          </w:p>
        </w:tc>
      </w:tr>
      <w:tr w14:paraId="132E0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2F02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14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CBF9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比选程序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436E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本项目采取的是线下提交响应文件，因此各响应单位必须安排代表参与现场开标，由比选人在本公告规定的比选截止时间到达时组织开标、评标，具体程序如下：</w:t>
            </w:r>
          </w:p>
          <w:p w14:paraId="4C4D24A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1.响应单位在递交截止时间前将响应文件递交至比选人相关经办人处。响应文件递交截止时间后，经办人向评选小组公布该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提交响应文件的数量及单位名称。</w:t>
            </w:r>
          </w:p>
          <w:p w14:paraId="3D82CCE1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.开标时，由响应单位或者其推选的代表检查响应文件的密封情况。</w:t>
            </w:r>
          </w:p>
          <w:p w14:paraId="059585E3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.逐单位随机公布响应单位名称、响应报价及其他内容并记录在案。</w:t>
            </w:r>
          </w:p>
          <w:p w14:paraId="74D897BF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.评选小组成员、主持人、记录人等有关人员在开标记录上签名确认。</w:t>
            </w:r>
          </w:p>
          <w:p w14:paraId="73E43E2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根据本比选文件附件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《评标办法》评审响应文件，并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推荐经评审合格的报价排名前三名为中选候选人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  <w:p w14:paraId="4AC3C635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.评标结束。</w:t>
            </w:r>
          </w:p>
          <w:p w14:paraId="5BC7AE6A">
            <w:pPr>
              <w:autoSpaceDE w:val="0"/>
              <w:autoSpaceDN w:val="0"/>
              <w:adjustRightInd w:val="0"/>
              <w:snapToGrid w:val="0"/>
              <w:ind w:firstLine="562" w:firstLineChars="200"/>
              <w:rPr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  <w:t>本次评标遵循公平、公正、科学、择优的原则，响应单位如有异议的，可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在公示期内提出异议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  <w:t>，无异议的视为默认评标结果。</w:t>
            </w:r>
          </w:p>
        </w:tc>
      </w:tr>
      <w:tr w14:paraId="6871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E1FDF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15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DEBC6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的组建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196E7">
            <w:pPr>
              <w:autoSpaceDE w:val="0"/>
              <w:autoSpaceDN w:val="0"/>
              <w:adjustRightInd w:val="0"/>
              <w:snapToGrid w:val="0"/>
              <w:ind w:left="4" w:leftChars="2"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的构成：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人或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人以上单数。</w:t>
            </w:r>
          </w:p>
          <w:p w14:paraId="0371C9D1">
            <w:pPr>
              <w:autoSpaceDE w:val="0"/>
              <w:autoSpaceDN w:val="0"/>
              <w:adjustRightInd w:val="0"/>
              <w:snapToGrid w:val="0"/>
              <w:ind w:left="4" w:leftChars="2"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</w:rPr>
              <w:t>成员由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比选人确定。</w:t>
            </w:r>
          </w:p>
        </w:tc>
      </w:tr>
      <w:tr w14:paraId="59CB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73BC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16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3C9E5">
            <w:pPr>
              <w:snapToGrid w:val="0"/>
              <w:spacing w:afterLines="2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是否授权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确定中选人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CF4A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□是</w:t>
            </w:r>
          </w:p>
          <w:p w14:paraId="2CDC12E4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sym w:font="Wingdings 2" w:char="F052"/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否，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根据本比选文件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要求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评审响应文件，并推荐经评审合格的报价由低到高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即报价下浮率由高到低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的中选候选人，首次比选项目中选候选人的数量需符合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N+1原则(N为拟选中选人数量)。</w:t>
            </w:r>
          </w:p>
        </w:tc>
      </w:tr>
      <w:tr w14:paraId="3F4B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27C09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17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2CE4D">
            <w:pPr>
              <w:snapToGrid w:val="0"/>
              <w:spacing w:afterLines="2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中选公示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B39E5">
            <w:pPr>
              <w:snapToGrid w:val="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本次比选结果将在比选时间结束后公示到江北建工官网，公示期为3日。公示内容包括中选候选人名称、响应报价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</w:tc>
      </w:tr>
      <w:tr w14:paraId="33B1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DAD1B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18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6D139">
            <w:pPr>
              <w:snapToGrid w:val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3E05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“合作商资源库”内供应商可直接报名参加本项目投标，无需缴纳投标保证金。非“合作商资源库”内的供应商若需报名参与本次比选活动，须交纳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万元投标保证金，中标单位承诺中选后加入江北建工“合作商资源库”，将其中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万元投标保证金转成入库保证金，不足部分补缴，入库保证金为5万元；剩余未中标单位投标结束后无息退还投标保证金；若中标后不履行承诺，将没收投标保证金；若达不到入库条件，将无息退还投标保证金，取消中标资格。</w:t>
            </w:r>
          </w:p>
          <w:p w14:paraId="4E9F917C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投标保证金银行账户信息：</w:t>
            </w:r>
          </w:p>
          <w:p w14:paraId="38F79BE3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账户：重庆市江北区城市建设工程技术有限公司</w:t>
            </w:r>
          </w:p>
          <w:p w14:paraId="0523CF92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开户行：重庆银行建新东路支行</w:t>
            </w:r>
          </w:p>
          <w:p w14:paraId="3353A33C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账号：240102029008402213</w:t>
            </w:r>
          </w:p>
          <w:p w14:paraId="28C272C0">
            <w:pPr>
              <w:snapToGrid w:val="0"/>
              <w:ind w:firstLine="560" w:firstLineChars="200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汇款或转账凭证上须注明信息简称：003地块干混砂浆采购投标保证金</w:t>
            </w:r>
          </w:p>
        </w:tc>
      </w:tr>
      <w:tr w14:paraId="4DCBB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1FC18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19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C32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签订合同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3962C">
            <w:pPr>
              <w:snapToGrid w:val="0"/>
              <w:spacing w:afterLines="2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比选人和中选人应当自中选通知书发出之日起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天内，根据比选文件和中选人的响应文件订立书面合同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否则视为中选人放弃中选资格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。</w:t>
            </w:r>
          </w:p>
          <w:p w14:paraId="4A6B38F9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中选人放弃中选项目，无正当理由不与比选人签订合同，在签订合同时向比选人提出附加条件或者更改合同实质性内容的，或不按照比选文件要求提交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综合保证金（如有）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的，比选人取消其中选资格，给比选人造成的损失直接用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投标保证金或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入库江北建工“合作商资源库”时缴纳的入库保证金抵扣，入库保证金不足以抵扣的，中选人还应当对超过部分予以赔偿。</w:t>
            </w:r>
          </w:p>
        </w:tc>
      </w:tr>
      <w:tr w14:paraId="67CCE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8711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20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18760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重新比选的情形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50FE6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有下列情形之一的，比选人将重新比选：</w:t>
            </w:r>
          </w:p>
          <w:p w14:paraId="57DF1B97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（1）响应截止时间止，响应单位少于3个的；</w:t>
            </w:r>
          </w:p>
          <w:p w14:paraId="326E1274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（2）经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评审后否决所有响应的；</w:t>
            </w:r>
          </w:p>
          <w:p w14:paraId="06D4F415">
            <w:pPr>
              <w:snapToGrid w:val="0"/>
              <w:spacing w:afterLines="20"/>
              <w:ind w:firstLine="560" w:firstLineChars="200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（3）经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评审后部分响应被否决，导致有效响应单位不足三个的，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有权否决所有响应。但是有效响应单位的经济、技术等指标仍然具有市场竞争力，能够满足比选文件要求的，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可以继续评标并确定中选候选人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适用于公开比选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）。</w:t>
            </w:r>
          </w:p>
        </w:tc>
      </w:tr>
      <w:tr w14:paraId="6779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7B413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21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B5446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bookmarkStart w:id="5" w:name="_Toc430530434"/>
            <w:bookmarkStart w:id="6" w:name="_Toc13210670"/>
            <w:bookmarkStart w:id="7" w:name="_Toc509218709"/>
            <w:bookmarkStart w:id="8" w:name="_Toc16930431"/>
            <w:bookmarkStart w:id="9" w:name="_Toc536628250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重新比选和不再</w:t>
            </w:r>
            <w:bookmarkEnd w:id="5"/>
            <w:bookmarkEnd w:id="6"/>
            <w:bookmarkEnd w:id="7"/>
            <w:bookmarkEnd w:id="8"/>
            <w:bookmarkEnd w:id="9"/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适用于公开比选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7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E80D">
            <w:pPr>
              <w:autoSpaceDE w:val="0"/>
              <w:autoSpaceDN w:val="0"/>
              <w:adjustRightInd w:val="0"/>
              <w:snapToGrid w:val="0"/>
              <w:spacing w:afterLines="20"/>
              <w:ind w:firstLine="560" w:firstLineChars="200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重新比选经评审有有效响应单位的，应当确定中选候选人;无有效响应单位的，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比选人可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</w:rPr>
              <w:t>自主选择其他方式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选择单位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542EC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D71330">
            <w:pPr>
              <w:jc w:val="center"/>
              <w:rPr>
                <w:rFonts w:hint="default" w:ascii="宋体" w:hAnsi="宋体" w:eastAsia="宋体"/>
                <w:b/>
                <w:snapToGrid w:val="0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bookmarkStart w:id="10" w:name="_Toc48747098"/>
            <w:bookmarkStart w:id="11" w:name="_Toc48746674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281C91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恶意低价的处理</w:t>
            </w:r>
          </w:p>
        </w:tc>
        <w:tc>
          <w:tcPr>
            <w:tcW w:w="71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800FD">
            <w:pPr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评选小组2/3以上成员认为报价低于成本价或不合理低价，存在恶意低价扰乱比选工作的，可以要求报价者限时进行澄清说明并提供必要的证明材料（包括但不限于以往签订的类似合同单价，结算文件，工人工资流水等），若报价者不能按时提供佐证资料，或者评选小组认为提供的资料不能有效证明低价的合理性，则视为该报价为恶意低价，应在公司纪检委员的监督下，由评选小组做否决响应处理。</w:t>
            </w:r>
          </w:p>
        </w:tc>
      </w:tr>
      <w:tr w14:paraId="29770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  <w:jc w:val="center"/>
        </w:trPr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22C12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25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7F97D8">
            <w:pPr>
              <w:jc w:val="center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评标结果</w:t>
            </w:r>
          </w:p>
        </w:tc>
        <w:tc>
          <w:tcPr>
            <w:tcW w:w="71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D4168">
            <w:pPr>
              <w:autoSpaceDE w:val="0"/>
              <w:autoSpaceDN w:val="0"/>
              <w:adjustRightInd w:val="0"/>
              <w:snapToGrid w:val="0"/>
              <w:ind w:firstLine="560" w:firstLineChars="200"/>
              <w:jc w:val="left"/>
              <w:rPr>
                <w:rFonts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按经评审的最低价评标法推荐中选候选人。</w:t>
            </w:r>
          </w:p>
        </w:tc>
      </w:tr>
      <w:bookmarkEnd w:id="10"/>
      <w:bookmarkEnd w:id="11"/>
    </w:tbl>
    <w:p w14:paraId="030BDE15">
      <w:pPr>
        <w:rPr>
          <w:color w:val="auto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C67C7"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11667A7">
                          <w:pPr>
                            <w:pStyle w:val="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iC+ss0BAACnAwAADgAAAGRycy9lMm9Eb2MueG1srVNLbtswEN0X6B0I&#10;7mspD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9iC+s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11667A7">
                    <w:pPr>
                      <w:pStyle w:val="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2B5C4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mYTJlODNhZjhiZjJmNjU1N2FlOGYwYzc2M2ZkMGUifQ=="/>
  </w:docVars>
  <w:rsids>
    <w:rsidRoot w:val="544D5AE3"/>
    <w:rsid w:val="000942B7"/>
    <w:rsid w:val="001A64C4"/>
    <w:rsid w:val="003010A9"/>
    <w:rsid w:val="005319D6"/>
    <w:rsid w:val="006836D3"/>
    <w:rsid w:val="00856063"/>
    <w:rsid w:val="009B4475"/>
    <w:rsid w:val="00D841DC"/>
    <w:rsid w:val="00F74A57"/>
    <w:rsid w:val="011D1F17"/>
    <w:rsid w:val="01C42B8B"/>
    <w:rsid w:val="01FA65AD"/>
    <w:rsid w:val="025008C3"/>
    <w:rsid w:val="029E151C"/>
    <w:rsid w:val="02AE676F"/>
    <w:rsid w:val="02BB3E72"/>
    <w:rsid w:val="02BC7D06"/>
    <w:rsid w:val="02DE2EB2"/>
    <w:rsid w:val="032670B5"/>
    <w:rsid w:val="03323AAC"/>
    <w:rsid w:val="034D2177"/>
    <w:rsid w:val="03733CD8"/>
    <w:rsid w:val="0387671D"/>
    <w:rsid w:val="039842CF"/>
    <w:rsid w:val="03BD26AA"/>
    <w:rsid w:val="042E69E2"/>
    <w:rsid w:val="045A2CEE"/>
    <w:rsid w:val="047B1DF1"/>
    <w:rsid w:val="04CD447A"/>
    <w:rsid w:val="04E5315B"/>
    <w:rsid w:val="053A4F12"/>
    <w:rsid w:val="060317A8"/>
    <w:rsid w:val="06483827"/>
    <w:rsid w:val="06D3561E"/>
    <w:rsid w:val="06F7130D"/>
    <w:rsid w:val="07FD0921"/>
    <w:rsid w:val="07FE66CB"/>
    <w:rsid w:val="083B791F"/>
    <w:rsid w:val="085226CA"/>
    <w:rsid w:val="08AD688E"/>
    <w:rsid w:val="08BB45BC"/>
    <w:rsid w:val="09694018"/>
    <w:rsid w:val="09CD45A7"/>
    <w:rsid w:val="0A8D3E9E"/>
    <w:rsid w:val="0B974E6D"/>
    <w:rsid w:val="0BCB2D68"/>
    <w:rsid w:val="0C3E353A"/>
    <w:rsid w:val="0C913FB2"/>
    <w:rsid w:val="0D4234FE"/>
    <w:rsid w:val="0DC06928"/>
    <w:rsid w:val="0E1E5946"/>
    <w:rsid w:val="0E8B67DF"/>
    <w:rsid w:val="0EC7793B"/>
    <w:rsid w:val="0EDE642C"/>
    <w:rsid w:val="0F67400D"/>
    <w:rsid w:val="0FB12275"/>
    <w:rsid w:val="100731A8"/>
    <w:rsid w:val="104E5D16"/>
    <w:rsid w:val="10637A13"/>
    <w:rsid w:val="113A0964"/>
    <w:rsid w:val="116972AB"/>
    <w:rsid w:val="11FF551A"/>
    <w:rsid w:val="121A67F7"/>
    <w:rsid w:val="123E4294"/>
    <w:rsid w:val="12865C4C"/>
    <w:rsid w:val="128A0B7A"/>
    <w:rsid w:val="12AA7B7B"/>
    <w:rsid w:val="12D26128"/>
    <w:rsid w:val="12D57129"/>
    <w:rsid w:val="12DD4E3A"/>
    <w:rsid w:val="12F86B39"/>
    <w:rsid w:val="13465AC5"/>
    <w:rsid w:val="13BD1A8F"/>
    <w:rsid w:val="13FA68E0"/>
    <w:rsid w:val="13FE338E"/>
    <w:rsid w:val="145C30F7"/>
    <w:rsid w:val="14E56CDC"/>
    <w:rsid w:val="164F7CFB"/>
    <w:rsid w:val="17127A9D"/>
    <w:rsid w:val="17445FC4"/>
    <w:rsid w:val="179E57D5"/>
    <w:rsid w:val="181A22CC"/>
    <w:rsid w:val="18372EAC"/>
    <w:rsid w:val="184243B2"/>
    <w:rsid w:val="18602A8A"/>
    <w:rsid w:val="19256005"/>
    <w:rsid w:val="197D416C"/>
    <w:rsid w:val="198364D0"/>
    <w:rsid w:val="1A146339"/>
    <w:rsid w:val="1A2E4226"/>
    <w:rsid w:val="1A843A78"/>
    <w:rsid w:val="1AB05F4B"/>
    <w:rsid w:val="1AB175CD"/>
    <w:rsid w:val="1AF5772B"/>
    <w:rsid w:val="1B292642"/>
    <w:rsid w:val="1B3A75C2"/>
    <w:rsid w:val="1BC82E20"/>
    <w:rsid w:val="1C3F11C8"/>
    <w:rsid w:val="1C5446B4"/>
    <w:rsid w:val="1C5648D0"/>
    <w:rsid w:val="1D3764AF"/>
    <w:rsid w:val="1D89515A"/>
    <w:rsid w:val="1DB70140"/>
    <w:rsid w:val="1DDF3B1B"/>
    <w:rsid w:val="1DE877AA"/>
    <w:rsid w:val="1E067F09"/>
    <w:rsid w:val="1EE9022A"/>
    <w:rsid w:val="1F3A2287"/>
    <w:rsid w:val="1F686DF4"/>
    <w:rsid w:val="1FB67853"/>
    <w:rsid w:val="1FB95AA8"/>
    <w:rsid w:val="204A02A8"/>
    <w:rsid w:val="210E39CB"/>
    <w:rsid w:val="217E76C8"/>
    <w:rsid w:val="2181419D"/>
    <w:rsid w:val="2190255C"/>
    <w:rsid w:val="21D15FB5"/>
    <w:rsid w:val="21D84A4B"/>
    <w:rsid w:val="22031056"/>
    <w:rsid w:val="223C28C1"/>
    <w:rsid w:val="22744CDC"/>
    <w:rsid w:val="227D75C0"/>
    <w:rsid w:val="22851A6B"/>
    <w:rsid w:val="228A7081"/>
    <w:rsid w:val="22EC1AEA"/>
    <w:rsid w:val="232E25B3"/>
    <w:rsid w:val="234B6811"/>
    <w:rsid w:val="235A6A54"/>
    <w:rsid w:val="23CE7442"/>
    <w:rsid w:val="247C3BCD"/>
    <w:rsid w:val="25381D7C"/>
    <w:rsid w:val="26233A75"/>
    <w:rsid w:val="27B434F1"/>
    <w:rsid w:val="2830042B"/>
    <w:rsid w:val="29325D7D"/>
    <w:rsid w:val="296F6FD1"/>
    <w:rsid w:val="29B42C36"/>
    <w:rsid w:val="2A467D32"/>
    <w:rsid w:val="2AAB5475"/>
    <w:rsid w:val="2B4A1AA4"/>
    <w:rsid w:val="2B8512A2"/>
    <w:rsid w:val="2B920D55"/>
    <w:rsid w:val="2C707199"/>
    <w:rsid w:val="2CC17FBC"/>
    <w:rsid w:val="2CD3627F"/>
    <w:rsid w:val="2D1A1E6D"/>
    <w:rsid w:val="2D8C03ED"/>
    <w:rsid w:val="2E0410BE"/>
    <w:rsid w:val="2E1141CE"/>
    <w:rsid w:val="2E566991"/>
    <w:rsid w:val="2E61338C"/>
    <w:rsid w:val="2EDA313F"/>
    <w:rsid w:val="2F120B2A"/>
    <w:rsid w:val="2F9F6DAE"/>
    <w:rsid w:val="2FAB0E99"/>
    <w:rsid w:val="2FB43990"/>
    <w:rsid w:val="2FEE4FE3"/>
    <w:rsid w:val="302F3B61"/>
    <w:rsid w:val="309C6428"/>
    <w:rsid w:val="30CC5C22"/>
    <w:rsid w:val="31A16195"/>
    <w:rsid w:val="31F46126"/>
    <w:rsid w:val="320C1861"/>
    <w:rsid w:val="326C67A3"/>
    <w:rsid w:val="333A23FE"/>
    <w:rsid w:val="33B93E61"/>
    <w:rsid w:val="34694455"/>
    <w:rsid w:val="34CB41C0"/>
    <w:rsid w:val="35066A3B"/>
    <w:rsid w:val="35AE07DB"/>
    <w:rsid w:val="36483084"/>
    <w:rsid w:val="369115B5"/>
    <w:rsid w:val="36AF4CE8"/>
    <w:rsid w:val="376A2A4A"/>
    <w:rsid w:val="37727924"/>
    <w:rsid w:val="378020F7"/>
    <w:rsid w:val="38146732"/>
    <w:rsid w:val="38A9222F"/>
    <w:rsid w:val="3918397A"/>
    <w:rsid w:val="391E6DEC"/>
    <w:rsid w:val="39872722"/>
    <w:rsid w:val="39900FC9"/>
    <w:rsid w:val="39951007"/>
    <w:rsid w:val="39BC591B"/>
    <w:rsid w:val="39E11825"/>
    <w:rsid w:val="3B2E7DFD"/>
    <w:rsid w:val="3B583D69"/>
    <w:rsid w:val="3BBF7881"/>
    <w:rsid w:val="3C0637C5"/>
    <w:rsid w:val="3C5B0AF6"/>
    <w:rsid w:val="3D62504C"/>
    <w:rsid w:val="3D9B6C6A"/>
    <w:rsid w:val="3E42596A"/>
    <w:rsid w:val="3E597F6B"/>
    <w:rsid w:val="3F055FB6"/>
    <w:rsid w:val="3F4A5273"/>
    <w:rsid w:val="40293AE0"/>
    <w:rsid w:val="40A125A4"/>
    <w:rsid w:val="40BC1805"/>
    <w:rsid w:val="413860F9"/>
    <w:rsid w:val="429A6A15"/>
    <w:rsid w:val="42EF6D61"/>
    <w:rsid w:val="432A5FEB"/>
    <w:rsid w:val="43C755E8"/>
    <w:rsid w:val="446207AB"/>
    <w:rsid w:val="44C1472D"/>
    <w:rsid w:val="44F543D6"/>
    <w:rsid w:val="459C439E"/>
    <w:rsid w:val="45A07192"/>
    <w:rsid w:val="45B2270B"/>
    <w:rsid w:val="45B26C1F"/>
    <w:rsid w:val="46667E67"/>
    <w:rsid w:val="492C096A"/>
    <w:rsid w:val="495A0CAC"/>
    <w:rsid w:val="49615C2B"/>
    <w:rsid w:val="497C0C22"/>
    <w:rsid w:val="49902920"/>
    <w:rsid w:val="49AD702E"/>
    <w:rsid w:val="49B128B4"/>
    <w:rsid w:val="49BB5BEF"/>
    <w:rsid w:val="4A0767A6"/>
    <w:rsid w:val="4A1959D7"/>
    <w:rsid w:val="4A196E46"/>
    <w:rsid w:val="4AFA71E7"/>
    <w:rsid w:val="4B28655D"/>
    <w:rsid w:val="4C0D108D"/>
    <w:rsid w:val="4C164CCF"/>
    <w:rsid w:val="4C2A0E0A"/>
    <w:rsid w:val="4CB84667"/>
    <w:rsid w:val="4CF66F3E"/>
    <w:rsid w:val="4DC1754C"/>
    <w:rsid w:val="4DE1374A"/>
    <w:rsid w:val="4DE82D2A"/>
    <w:rsid w:val="4E0F475B"/>
    <w:rsid w:val="4EC478F3"/>
    <w:rsid w:val="4EC618FA"/>
    <w:rsid w:val="4F7F26C1"/>
    <w:rsid w:val="4F830CB0"/>
    <w:rsid w:val="4F8F4BF7"/>
    <w:rsid w:val="50632B3C"/>
    <w:rsid w:val="5076286F"/>
    <w:rsid w:val="508A00C9"/>
    <w:rsid w:val="508E3206"/>
    <w:rsid w:val="50BB4726"/>
    <w:rsid w:val="50C20317"/>
    <w:rsid w:val="50CC06E1"/>
    <w:rsid w:val="50F73284"/>
    <w:rsid w:val="51080BD4"/>
    <w:rsid w:val="510B64F5"/>
    <w:rsid w:val="510C073C"/>
    <w:rsid w:val="5167040A"/>
    <w:rsid w:val="517975BC"/>
    <w:rsid w:val="51D147FD"/>
    <w:rsid w:val="528E18A3"/>
    <w:rsid w:val="52932E9F"/>
    <w:rsid w:val="531331F1"/>
    <w:rsid w:val="53837CF0"/>
    <w:rsid w:val="541C372E"/>
    <w:rsid w:val="543C16DA"/>
    <w:rsid w:val="544D5AE3"/>
    <w:rsid w:val="54684BC5"/>
    <w:rsid w:val="55216B22"/>
    <w:rsid w:val="55AD03B6"/>
    <w:rsid w:val="55C1392B"/>
    <w:rsid w:val="55C20305"/>
    <w:rsid w:val="571C4E0C"/>
    <w:rsid w:val="57E26A3C"/>
    <w:rsid w:val="57ED1447"/>
    <w:rsid w:val="583152CE"/>
    <w:rsid w:val="588C69A8"/>
    <w:rsid w:val="58A41F44"/>
    <w:rsid w:val="590316FF"/>
    <w:rsid w:val="596A5526"/>
    <w:rsid w:val="596C0CB3"/>
    <w:rsid w:val="5989087E"/>
    <w:rsid w:val="5B323837"/>
    <w:rsid w:val="5B3752F1"/>
    <w:rsid w:val="5B8D10CB"/>
    <w:rsid w:val="5BB66216"/>
    <w:rsid w:val="5BC03B23"/>
    <w:rsid w:val="5BF06D63"/>
    <w:rsid w:val="5C676876"/>
    <w:rsid w:val="5C7A5495"/>
    <w:rsid w:val="5CC22998"/>
    <w:rsid w:val="5D1A2E5D"/>
    <w:rsid w:val="5D431D2B"/>
    <w:rsid w:val="5DB22A0D"/>
    <w:rsid w:val="5E563CE0"/>
    <w:rsid w:val="5F711ACA"/>
    <w:rsid w:val="5FB053F2"/>
    <w:rsid w:val="5FCD3B2E"/>
    <w:rsid w:val="5FEE662F"/>
    <w:rsid w:val="60944813"/>
    <w:rsid w:val="60A56859"/>
    <w:rsid w:val="60A87A87"/>
    <w:rsid w:val="6112028F"/>
    <w:rsid w:val="612E4AA0"/>
    <w:rsid w:val="61590315"/>
    <w:rsid w:val="61616C24"/>
    <w:rsid w:val="617C3A5E"/>
    <w:rsid w:val="61970898"/>
    <w:rsid w:val="61B00B16"/>
    <w:rsid w:val="6247406C"/>
    <w:rsid w:val="637747E3"/>
    <w:rsid w:val="63C17E4E"/>
    <w:rsid w:val="63FF44D2"/>
    <w:rsid w:val="6478501C"/>
    <w:rsid w:val="64C33E06"/>
    <w:rsid w:val="64C3723F"/>
    <w:rsid w:val="64C86FBA"/>
    <w:rsid w:val="650A1380"/>
    <w:rsid w:val="6784541A"/>
    <w:rsid w:val="67A00143"/>
    <w:rsid w:val="67A91325"/>
    <w:rsid w:val="67A96C2F"/>
    <w:rsid w:val="67BA0E3C"/>
    <w:rsid w:val="68854F26"/>
    <w:rsid w:val="68D76793"/>
    <w:rsid w:val="69467FD0"/>
    <w:rsid w:val="69C53AC8"/>
    <w:rsid w:val="69E95A08"/>
    <w:rsid w:val="6A7A48B2"/>
    <w:rsid w:val="6B330BC4"/>
    <w:rsid w:val="6C044D7B"/>
    <w:rsid w:val="6C733CAF"/>
    <w:rsid w:val="6D1E1E6D"/>
    <w:rsid w:val="6EFB163B"/>
    <w:rsid w:val="6EFF5556"/>
    <w:rsid w:val="6F01196A"/>
    <w:rsid w:val="6FA7614A"/>
    <w:rsid w:val="71F65166"/>
    <w:rsid w:val="727B38BE"/>
    <w:rsid w:val="727F02B6"/>
    <w:rsid w:val="72B34E05"/>
    <w:rsid w:val="72F50157"/>
    <w:rsid w:val="73244565"/>
    <w:rsid w:val="73A36734"/>
    <w:rsid w:val="7402170B"/>
    <w:rsid w:val="741E09A4"/>
    <w:rsid w:val="74850A24"/>
    <w:rsid w:val="74C72DEA"/>
    <w:rsid w:val="75226272"/>
    <w:rsid w:val="753366D1"/>
    <w:rsid w:val="753E6C48"/>
    <w:rsid w:val="75610B49"/>
    <w:rsid w:val="756901F3"/>
    <w:rsid w:val="75B3731F"/>
    <w:rsid w:val="76052D6D"/>
    <w:rsid w:val="7634625D"/>
    <w:rsid w:val="76895725"/>
    <w:rsid w:val="76E9529A"/>
    <w:rsid w:val="773D3837"/>
    <w:rsid w:val="77DE6C59"/>
    <w:rsid w:val="78C87131"/>
    <w:rsid w:val="78CA4C57"/>
    <w:rsid w:val="79517126"/>
    <w:rsid w:val="7A6B33BA"/>
    <w:rsid w:val="7A7F700F"/>
    <w:rsid w:val="7B4E4CB6"/>
    <w:rsid w:val="7C3C42A8"/>
    <w:rsid w:val="7C3F595C"/>
    <w:rsid w:val="7CB4634A"/>
    <w:rsid w:val="7CBE7F8A"/>
    <w:rsid w:val="7CCE5BDD"/>
    <w:rsid w:val="7D190380"/>
    <w:rsid w:val="7DB4332B"/>
    <w:rsid w:val="7DFE4A36"/>
    <w:rsid w:val="7E496180"/>
    <w:rsid w:val="7F166E48"/>
    <w:rsid w:val="7F9164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3">
    <w:name w:val="目录 53"/>
    <w:next w:val="1"/>
    <w:autoRedefine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样式 正文缩进正文缩进2正文缩进 Char Char正文缩进 Char Char Char Char正文缩进 Char ...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2669</Words>
  <Characters>2777</Characters>
  <Lines>21</Lines>
  <Paragraphs>6</Paragraphs>
  <TotalTime>1</TotalTime>
  <ScaleCrop>false</ScaleCrop>
  <LinksUpToDate>false</LinksUpToDate>
  <CharactersWithSpaces>2811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2022-10-27T11:28:00Z</dcterms:created>
  <dc:creator>不规今日</dc:creator>
  <cp:lastModifiedBy>文子~Yan</cp:lastModifiedBy>
  <cp:lastPrinted>2025-12-04T08:52:00Z</cp:lastPrinted>
  <dcterms:modified xsi:type="dcterms:W3CDTF">2025-12-29T07:04:04Z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EAB9338F5C0A4C3DBC519B9D6BD78F1F_13</vt:lpwstr>
  </property>
  <property fmtid="{D5CDD505-2E9C-101B-9397-08002B2CF9AE}" pid="4" name="KSOTemplateDocerSaveRecord">
    <vt:lpwstr>eyJoZGlkIjoiZWRhNDgxYTI0ZThhMzA5NmIzZjBhNWEyZDE0ODA1ZmYiLCJ1c2VySWQiOiI3MDEzNjg1ODEifQ==</vt:lpwstr>
  </property>
</Properties>
</file>